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 xml:space="preserve">Smlouva o poskytovaní služeb elektronických komunikací </w:t>
      </w:r>
    </w:p>
    <w:p>
      <w:pPr>
        <w:pStyle w:val="Normal"/>
        <w:jc w:val="center"/>
        <w:rPr>
          <w:b/>
          <w:b/>
          <w:bCs/>
        </w:rPr>
      </w:pPr>
      <w:r>
        <w:rPr/>
        <w:t>číslo smlouvy .............................................</w:t>
      </w:r>
    </w:p>
    <w:p>
      <w:pPr>
        <w:pStyle w:val="Normal"/>
        <w:rPr/>
      </w:pPr>
      <w:r>
        <w:rPr/>
      </w:r>
    </w:p>
    <w:p>
      <w:pPr>
        <w:pStyle w:val="Normal"/>
        <w:rPr/>
      </w:pPr>
      <w:r>
        <w:rPr/>
        <w:t>uzavřena podle ustanovení § 1746 odst. 2 zákona č. 89/2012 Sb., občanského zákoníku, ve znění pozdějších předpisů, podle ustanovení § 63 zákona č. 127/2005 Sb., o elektronických komunikacích, ve znění pozdějších předpisů, a podle Nařízení Evropského parlamentu a rady (EU) 2016/679 o ochraně fyzických osob v souvislosti se zpracováním osobních údajů a o volném pohybu těchto údajů a o zrušení směrnice 95/46/ES (obecné nařízení o ochraně osobních údajů) mezi stranami:</w:t>
      </w:r>
    </w:p>
    <w:p>
      <w:pPr>
        <w:pStyle w:val="Normal"/>
        <w:rPr/>
      </w:pPr>
      <w:r>
        <w:rPr/>
      </w:r>
    </w:p>
    <w:p>
      <w:pPr>
        <w:pStyle w:val="Normal"/>
        <w:rPr/>
      </w:pPr>
      <w:r>
        <w:rPr/>
        <w:t>Vrchonet, z.s. (dále jen „spolek“) Vrchoslavice 169, Němčice nad Hanou, IČO: 22689231, zastoupena svým předsedou Janem Zimenem (dále jen „Poskytovatel“) a</w:t>
      </w:r>
    </w:p>
    <w:p>
      <w:pPr>
        <w:pStyle w:val="Normal"/>
        <w:rPr/>
      </w:pPr>
      <w:r>
        <w:rPr/>
        <w:t xml:space="preserve">Jméno a příjmení: …………………………………………… </w:t>
      </w:r>
    </w:p>
    <w:p>
      <w:pPr>
        <w:pStyle w:val="Normal"/>
        <w:rPr/>
      </w:pPr>
      <w:r>
        <w:rPr/>
        <w:t xml:space="preserve">Trvalý pobyt: …………………………………………………… </w:t>
      </w:r>
    </w:p>
    <w:p>
      <w:pPr>
        <w:pStyle w:val="Normal"/>
        <w:rPr/>
      </w:pPr>
      <w:r>
        <w:rPr/>
        <w:t>Datum narození: ………………………………………………</w:t>
      </w:r>
    </w:p>
    <w:p>
      <w:pPr>
        <w:pStyle w:val="Normal"/>
        <w:rPr/>
      </w:pPr>
      <w:r>
        <w:rPr/>
        <w:t>Telefon: ……………………………………………………………</w:t>
      </w:r>
    </w:p>
    <w:p>
      <w:pPr>
        <w:pStyle w:val="Normal"/>
        <w:rPr/>
      </w:pPr>
      <w:r>
        <w:rPr/>
        <w:t xml:space="preserve">Email: ………………………………………………………………. </w:t>
      </w:r>
    </w:p>
    <w:p>
      <w:pPr>
        <w:pStyle w:val="Normal"/>
        <w:rPr/>
      </w:pPr>
      <w:r>
        <w:rPr/>
        <w:t>(dále jen „Člen“)</w:t>
      </w:r>
    </w:p>
    <w:p>
      <w:pPr>
        <w:pStyle w:val="Normal"/>
        <w:rPr/>
      </w:pPr>
      <w:r>
        <w:rPr/>
      </w:r>
    </w:p>
    <w:p>
      <w:pPr>
        <w:pStyle w:val="Normal"/>
        <w:rPr/>
      </w:pPr>
      <w:r>
        <w:rPr/>
        <w:t>Kontakty na poskytovatele jsou email vrchonet@vrchonet.cz a kontakt dohledu sítě na telefonním čísle 776 214 032. Informační webový portál poskytovatele je na adrese https://www.vrchonet.</w:t>
      </w:r>
      <w:r>
        <w:rPr>
          <w:rFonts w:eastAsia="Calibri" w:cs="" w:cstheme="minorBidi" w:eastAsiaTheme="minorHAnsi"/>
          <w:color w:val="auto"/>
          <w:kern w:val="0"/>
          <w:sz w:val="22"/>
          <w:szCs w:val="22"/>
          <w:lang w:val="cs-CZ" w:eastAsia="en-US" w:bidi="ar-SA"/>
        </w:rPr>
        <w:t>cz</w:t>
      </w:r>
      <w:r>
        <w:rPr/>
        <w:t xml:space="preserve"> (dále jen „Internetové stránky“)</w:t>
      </w:r>
    </w:p>
    <w:p>
      <w:pPr>
        <w:pStyle w:val="Normal"/>
        <w:rPr/>
      </w:pPr>
      <w:r>
        <w:rPr/>
      </w:r>
    </w:p>
    <w:p>
      <w:pPr>
        <w:pStyle w:val="Normal"/>
        <w:rPr/>
      </w:pPr>
      <w:r>
        <w:rPr/>
      </w:r>
    </w:p>
    <w:p>
      <w:pPr>
        <w:pStyle w:val="ListParagraph"/>
        <w:numPr>
          <w:ilvl w:val="0"/>
          <w:numId w:val="1"/>
        </w:numPr>
        <w:rPr/>
      </w:pPr>
      <w:r>
        <w:rPr/>
        <w:t>Úvodní ustanovení</w:t>
      </w:r>
    </w:p>
    <w:p>
      <w:pPr>
        <w:pStyle w:val="Normal"/>
        <w:rPr/>
      </w:pPr>
      <w:r>
        <w:rPr/>
        <w:t>Výše uvedené smluvní strany uzavírají tuto „Smlouvu o poskytovaní služeb elektronických komunikací“ (dále jen „Smlouva“) s níže uvedeným obsahem. Mezi stranami je ujednáno, že část obsahu Smlouvy určují „Stanovy spolku“, „Provozní řád“ a „Finanční řád“. Služby vyplývající z této smlouvy jsou vázány na členství ve spolku a zánikem členství ve spolku zaniká i tato smlouva. Platnost smlouvy může započít nejdříve okamžikem vzniku členství. Služby vyplývající z této smlouvy jsou poskytovány bezplatně a jsou benefitem členství ve spolku.</w:t>
      </w:r>
    </w:p>
    <w:p>
      <w:pPr>
        <w:pStyle w:val="Normal"/>
        <w:rPr/>
      </w:pPr>
      <w:r>
        <w:rPr/>
        <w:t>Mezi smluvními stranami se výslovně ujednává, ze Poskytovatel je oprávněn Stanovy, Provozní řád a Finanční řád v přiměřeném rozsahu doplňovat či měnit. Změna Stanov, Provozního řádu a Finančního řádu je zveřejněna na internetových stránkách Poskytovatele.</w:t>
      </w:r>
    </w:p>
    <w:p>
      <w:pPr>
        <w:pStyle w:val="Normal"/>
        <w:rPr/>
      </w:pPr>
      <w:r>
        <w:rPr/>
      </w:r>
    </w:p>
    <w:p>
      <w:pPr>
        <w:pStyle w:val="Normal"/>
        <w:rPr/>
      </w:pPr>
      <w:r>
        <w:rPr/>
      </w:r>
    </w:p>
    <w:p>
      <w:pPr>
        <w:pStyle w:val="Normal"/>
        <w:rPr/>
      </w:pPr>
      <w:r>
        <w:rPr/>
      </w:r>
    </w:p>
    <w:p>
      <w:pPr>
        <w:pStyle w:val="ListParagraph"/>
        <w:numPr>
          <w:ilvl w:val="0"/>
          <w:numId w:val="1"/>
        </w:numPr>
        <w:rPr/>
      </w:pPr>
      <w:r>
        <w:rPr/>
        <w:t>Parametry poskytované služby</w:t>
      </w:r>
    </w:p>
    <w:p>
      <w:pPr>
        <w:pStyle w:val="Normal"/>
        <w:shd w:val="clear" w:color="auto" w:fill="FFFFFF"/>
        <w:spacing w:lineRule="auto" w:line="240" w:before="0" w:after="0"/>
        <w:rPr>
          <w:rFonts w:ascii="Roboto" w:hAnsi="Roboto" w:eastAsia="Times New Roman" w:cs="Times New Roman"/>
          <w:color w:val="000000"/>
          <w:sz w:val="24"/>
          <w:szCs w:val="24"/>
          <w:lang w:eastAsia="cs-CZ"/>
        </w:rPr>
      </w:pPr>
      <w:r>
        <w:rPr>
          <w:rFonts w:eastAsia="Times New Roman" w:cs="Times New Roman" w:ascii="Roboto" w:hAnsi="Roboto"/>
          <w:color w:val="000000"/>
          <w:sz w:val="24"/>
          <w:szCs w:val="24"/>
          <w:lang w:eastAsia="cs-CZ"/>
        </w:rPr>
        <w:t> </w:t>
      </w:r>
    </w:p>
    <w:tbl>
      <w:tblPr>
        <w:tblW w:w="9052" w:type="dxa"/>
        <w:jc w:val="center"/>
        <w:tblInd w:w="0" w:type="dxa"/>
        <w:tblCellMar>
          <w:top w:w="0" w:type="dxa"/>
          <w:left w:w="108" w:type="dxa"/>
          <w:bottom w:w="0" w:type="dxa"/>
          <w:right w:w="108" w:type="dxa"/>
        </w:tblCellMar>
        <w:tblLook w:val="04a0" w:noHBand="0" w:noVBand="1" w:firstColumn="1" w:lastRow="0" w:lastColumn="0" w:firstRow="1"/>
      </w:tblPr>
      <w:tblGrid>
        <w:gridCol w:w="1088"/>
        <w:gridCol w:w="984"/>
        <w:gridCol w:w="1058"/>
        <w:gridCol w:w="937"/>
        <w:gridCol w:w="986"/>
        <w:gridCol w:w="1018"/>
        <w:gridCol w:w="1056"/>
        <w:gridCol w:w="939"/>
        <w:gridCol w:w="985"/>
      </w:tblGrid>
      <w:tr>
        <w:trPr/>
        <w:tc>
          <w:tcPr>
            <w:tcW w:w="1088" w:type="dxa"/>
            <w:vMerge w:val="restart"/>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Arial" w:ascii="Arial" w:hAnsi="Arial"/>
                <w:sz w:val="20"/>
                <w:szCs w:val="20"/>
                <w:lang w:eastAsia="cs-CZ"/>
              </w:rPr>
              <w:t>Název tarifu:</w:t>
            </w:r>
          </w:p>
        </w:tc>
        <w:tc>
          <w:tcPr>
            <w:tcW w:w="3965" w:type="dxa"/>
            <w:gridSpan w:val="4"/>
            <w:tcBorders>
              <w:top w:val="single" w:sz="8" w:space="0" w:color="000000"/>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Rychlost stahování (download) Mb/s</w:t>
            </w:r>
          </w:p>
        </w:tc>
        <w:tc>
          <w:tcPr>
            <w:tcW w:w="3998" w:type="dxa"/>
            <w:gridSpan w:val="4"/>
            <w:tcBorders>
              <w:top w:val="single" w:sz="8" w:space="0" w:color="000000"/>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Rychlost odesílání (upload) Mb/s</w:t>
            </w:r>
          </w:p>
        </w:tc>
      </w:tr>
      <w:tr>
        <w:trPr/>
        <w:tc>
          <w:tcPr>
            <w:tcW w:w="1088" w:type="dxa"/>
            <w:vMerge w:val="continue"/>
            <w:tcBorders>
              <w:top w:val="single" w:sz="8" w:space="0" w:color="000000"/>
              <w:left w:val="single" w:sz="8" w:space="0" w:color="000000"/>
              <w:bottom w:val="single" w:sz="8" w:space="0" w:color="000000"/>
              <w:right w:val="single" w:sz="8" w:space="0" w:color="000000"/>
            </w:tcBorders>
            <w:tcMar>
              <w:left w:w="10" w:type="dxa"/>
              <w:right w:w="10" w:type="dxa"/>
            </w:tcMar>
            <w:vAlign w:val="center"/>
          </w:tcPr>
          <w:p>
            <w:pPr>
              <w:pStyle w:val="Normal"/>
              <w:spacing w:lineRule="auto" w:line="240" w:before="0" w:after="0"/>
              <w:rPr>
                <w:rFonts w:ascii="Calibri" w:hAnsi="Calibri" w:eastAsia="Times New Roman" w:cs="Calibri"/>
                <w:lang w:eastAsia="cs-CZ"/>
              </w:rPr>
            </w:pPr>
            <w:r>
              <w:rPr>
                <w:rFonts w:eastAsia="Times New Roman" w:cs="Calibri"/>
                <w:lang w:eastAsia="cs-CZ"/>
              </w:rPr>
            </w:r>
          </w:p>
        </w:tc>
        <w:tc>
          <w:tcPr>
            <w:tcW w:w="984"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sz w:val="18"/>
                <w:szCs w:val="18"/>
                <w:lang w:eastAsia="cs-CZ"/>
              </w:rPr>
            </w:pPr>
            <w:r>
              <w:rPr>
                <w:rFonts w:eastAsia="Times New Roman" w:cs="Calibri"/>
                <w:sz w:val="18"/>
                <w:szCs w:val="18"/>
                <w:lang w:eastAsia="cs-CZ"/>
              </w:rPr>
              <w:t>Maximální</w:t>
            </w:r>
          </w:p>
        </w:tc>
        <w:tc>
          <w:tcPr>
            <w:tcW w:w="1058"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sz w:val="18"/>
                <w:szCs w:val="18"/>
                <w:lang w:eastAsia="cs-CZ"/>
              </w:rPr>
            </w:pPr>
            <w:r>
              <w:rPr>
                <w:rFonts w:eastAsia="Times New Roman" w:cs="Calibri"/>
                <w:sz w:val="18"/>
                <w:szCs w:val="18"/>
                <w:lang w:eastAsia="cs-CZ"/>
              </w:rPr>
              <w:t>Inzerovaná</w:t>
            </w:r>
          </w:p>
        </w:tc>
        <w:tc>
          <w:tcPr>
            <w:tcW w:w="937"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sz w:val="18"/>
                <w:szCs w:val="18"/>
                <w:lang w:eastAsia="cs-CZ"/>
              </w:rPr>
            </w:pPr>
            <w:r>
              <w:rPr>
                <w:rFonts w:eastAsia="Times New Roman" w:cs="Calibri"/>
                <w:sz w:val="18"/>
                <w:szCs w:val="18"/>
                <w:lang w:eastAsia="cs-CZ"/>
              </w:rPr>
              <w:t>Běžně dostupná</w:t>
            </w:r>
          </w:p>
        </w:tc>
        <w:tc>
          <w:tcPr>
            <w:tcW w:w="986"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sz w:val="18"/>
                <w:szCs w:val="18"/>
                <w:lang w:eastAsia="cs-CZ"/>
              </w:rPr>
            </w:pPr>
            <w:r>
              <w:rPr>
                <w:rFonts w:eastAsia="Times New Roman" w:cs="Calibri"/>
                <w:sz w:val="18"/>
                <w:szCs w:val="18"/>
                <w:lang w:eastAsia="cs-CZ"/>
              </w:rPr>
              <w:t>Minimální</w:t>
            </w:r>
          </w:p>
        </w:tc>
        <w:tc>
          <w:tcPr>
            <w:tcW w:w="1018" w:type="dxa"/>
            <w:tcBorders>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sz w:val="18"/>
                <w:szCs w:val="18"/>
                <w:lang w:eastAsia="cs-CZ"/>
              </w:rPr>
            </w:pPr>
            <w:r>
              <w:rPr>
                <w:rFonts w:eastAsia="Times New Roman" w:cs="Calibri"/>
                <w:sz w:val="18"/>
                <w:szCs w:val="18"/>
                <w:lang w:eastAsia="cs-CZ"/>
              </w:rPr>
              <w:t>Maximální</w:t>
            </w:r>
          </w:p>
        </w:tc>
        <w:tc>
          <w:tcPr>
            <w:tcW w:w="1056" w:type="dxa"/>
            <w:tcBorders>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sz w:val="18"/>
                <w:szCs w:val="18"/>
                <w:lang w:eastAsia="cs-CZ"/>
              </w:rPr>
            </w:pPr>
            <w:r>
              <w:rPr>
                <w:rFonts w:eastAsia="Times New Roman" w:cs="Calibri"/>
                <w:sz w:val="18"/>
                <w:szCs w:val="18"/>
                <w:lang w:eastAsia="cs-CZ"/>
              </w:rPr>
              <w:t>Inzerovaná</w:t>
            </w:r>
          </w:p>
        </w:tc>
        <w:tc>
          <w:tcPr>
            <w:tcW w:w="939" w:type="dxa"/>
            <w:tcBorders>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sz w:val="18"/>
                <w:szCs w:val="18"/>
                <w:lang w:eastAsia="cs-CZ"/>
              </w:rPr>
            </w:pPr>
            <w:r>
              <w:rPr>
                <w:rFonts w:eastAsia="Times New Roman" w:cs="Calibri"/>
                <w:sz w:val="18"/>
                <w:szCs w:val="18"/>
                <w:lang w:eastAsia="cs-CZ"/>
              </w:rPr>
              <w:t>Běžně dostupná</w:t>
            </w:r>
          </w:p>
        </w:tc>
        <w:tc>
          <w:tcPr>
            <w:tcW w:w="985" w:type="dxa"/>
            <w:tcBorders>
              <w:bottom w:val="single" w:sz="8" w:space="0" w:color="000000"/>
              <w:right w:val="single" w:sz="8" w:space="0" w:color="000000"/>
            </w:tcBorders>
            <w:vAlign w:val="center"/>
          </w:tcPr>
          <w:p>
            <w:pPr>
              <w:pStyle w:val="Normal"/>
              <w:spacing w:lineRule="auto" w:line="240" w:before="0" w:after="0"/>
              <w:rPr>
                <w:rFonts w:ascii="Calibri" w:hAnsi="Calibri" w:eastAsia="Times New Roman" w:cs="Calibri"/>
                <w:sz w:val="18"/>
                <w:szCs w:val="18"/>
                <w:lang w:eastAsia="cs-CZ"/>
              </w:rPr>
            </w:pPr>
            <w:r>
              <w:rPr>
                <w:rFonts w:eastAsia="Times New Roman" w:cs="Calibri"/>
                <w:sz w:val="18"/>
                <w:szCs w:val="18"/>
                <w:lang w:eastAsia="cs-CZ"/>
              </w:rPr>
              <w:t>Minimální</w:t>
            </w:r>
          </w:p>
        </w:tc>
      </w:tr>
      <w:tr>
        <w:trPr/>
        <w:tc>
          <w:tcPr>
            <w:tcW w:w="1088" w:type="dxa"/>
            <w:tcBorders>
              <w:left w:val="single" w:sz="8" w:space="0" w:color="000000"/>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sz w:val="12"/>
                <w:szCs w:val="12"/>
                <w:lang w:eastAsia="cs-CZ"/>
              </w:rPr>
            </w:pPr>
            <w:r>
              <w:rPr>
                <w:rFonts w:eastAsia="Times New Roman" w:cs="Calibri"/>
                <w:sz w:val="12"/>
                <w:szCs w:val="12"/>
                <w:lang w:eastAsia="cs-CZ"/>
              </w:rPr>
              <w:t>Členský příspěvek</w:t>
            </w:r>
          </w:p>
        </w:tc>
        <w:tc>
          <w:tcPr>
            <w:tcW w:w="984"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1058"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937"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986"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1018"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1056"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939"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c>
          <w:tcPr>
            <w:tcW w:w="985" w:type="dxa"/>
            <w:tcBorders>
              <w:bottom w:val="single" w:sz="8" w:space="0" w:color="000000"/>
              <w:right w:val="single" w:sz="8" w:space="0" w:color="000000"/>
            </w:tcBorders>
            <w:vAlign w:val="center"/>
          </w:tcPr>
          <w:p>
            <w:pPr>
              <w:pStyle w:val="Normal"/>
              <w:spacing w:lineRule="auto" w:line="240" w:before="0" w:after="0"/>
              <w:jc w:val="center"/>
              <w:rPr>
                <w:rFonts w:ascii="Calibri" w:hAnsi="Calibri" w:eastAsia="Times New Roman" w:cs="Calibri"/>
                <w:lang w:eastAsia="cs-CZ"/>
              </w:rPr>
            </w:pPr>
            <w:r>
              <w:rPr>
                <w:rFonts w:eastAsia="Times New Roman" w:cs="Calibri"/>
                <w:lang w:eastAsia="cs-CZ"/>
              </w:rPr>
              <w:t>3</w:t>
            </w:r>
          </w:p>
        </w:tc>
      </w:tr>
    </w:tbl>
    <w:p>
      <w:pPr>
        <w:pStyle w:val="Normal"/>
        <w:rPr>
          <w:rFonts w:ascii="Arial;sans-serif" w:hAnsi="Arial;sans-serif"/>
          <w:color w:val="000000"/>
          <w:sz w:val="16"/>
          <w:szCs w:val="16"/>
        </w:rPr>
      </w:pPr>
      <w:r>
        <w:rPr>
          <w:rFonts w:ascii="Arial;sans-serif" w:hAnsi="Arial;sans-serif"/>
          <w:color w:val="000000"/>
          <w:sz w:val="16"/>
          <w:szCs w:val="16"/>
        </w:rPr>
      </w:r>
    </w:p>
    <w:p>
      <w:pPr>
        <w:pStyle w:val="Tlotextu"/>
        <w:numPr>
          <w:ilvl w:val="0"/>
          <w:numId w:val="2"/>
        </w:numPr>
        <w:tabs>
          <w:tab w:val="clear" w:pos="708"/>
          <w:tab w:val="left" w:pos="0" w:leader="none"/>
        </w:tabs>
        <w:spacing w:before="0" w:after="0"/>
        <w:ind w:left="707" w:hanging="283"/>
        <w:jc w:val="both"/>
        <w:rPr>
          <w:rFonts w:ascii="Arial;sans-serif" w:hAnsi="Arial;sans-serif"/>
          <w:color w:val="000000"/>
          <w:sz w:val="16"/>
          <w:szCs w:val="16"/>
        </w:rPr>
      </w:pPr>
      <w:r>
        <w:rPr>
          <w:rFonts w:ascii="Arial;sans-serif" w:hAnsi="Arial;sans-serif"/>
          <w:color w:val="000000"/>
          <w:sz w:val="16"/>
          <w:szCs w:val="16"/>
        </w:rPr>
        <w:t xml:space="preserve">Na skutečně dosahovanou rychlost při měření rychlosti připojení i běžném používání služby přístupu k internetu může mít vliv běžící služba IPTV nebo další OTT služby typu Youtube nebo Netflix, běžící aktualizace operačních systémů nebo aplikací, poslech hudby na pozadí a další služby, které běží mimo internetový prohlížeč a nemusí být na první pohled jejich činnost zjevná. </w:t>
      </w:r>
    </w:p>
    <w:p>
      <w:pPr>
        <w:pStyle w:val="Tlotextu"/>
        <w:numPr>
          <w:ilvl w:val="0"/>
          <w:numId w:val="2"/>
        </w:numPr>
        <w:tabs>
          <w:tab w:val="clear" w:pos="708"/>
          <w:tab w:val="left" w:pos="0" w:leader="none"/>
        </w:tabs>
        <w:spacing w:before="0" w:after="0"/>
        <w:ind w:left="707" w:hanging="283"/>
        <w:jc w:val="both"/>
        <w:rPr>
          <w:rFonts w:ascii="Arial;sans-serif" w:hAnsi="Arial;sans-serif"/>
          <w:color w:val="000000"/>
          <w:sz w:val="16"/>
          <w:szCs w:val="16"/>
        </w:rPr>
      </w:pPr>
      <w:r>
        <w:rPr>
          <w:rFonts w:ascii="Arial;sans-serif" w:hAnsi="Arial;sans-serif"/>
          <w:color w:val="000000"/>
          <w:sz w:val="16"/>
          <w:szCs w:val="16"/>
        </w:rPr>
        <w:t xml:space="preserve">Za velkou trvající odchylku od běžně dostupné rychlosti se považuje taková odchylka, která vytváří souvislý pokles výkonu služby přístupu k internetu pod definovanou rychlost v intervalu delším než 70 minut. </w:t>
      </w:r>
    </w:p>
    <w:p>
      <w:pPr>
        <w:pStyle w:val="Tlotextu"/>
        <w:numPr>
          <w:ilvl w:val="0"/>
          <w:numId w:val="2"/>
        </w:numPr>
        <w:tabs>
          <w:tab w:val="clear" w:pos="708"/>
          <w:tab w:val="left" w:pos="0" w:leader="none"/>
        </w:tabs>
        <w:spacing w:before="0" w:after="0"/>
        <w:ind w:left="707" w:hanging="283"/>
        <w:jc w:val="both"/>
        <w:rPr>
          <w:rFonts w:ascii="Arial;sans-serif" w:hAnsi="Arial;sans-serif"/>
          <w:color w:val="000000"/>
          <w:sz w:val="16"/>
          <w:szCs w:val="16"/>
        </w:rPr>
      </w:pPr>
      <w:r>
        <w:rPr>
          <w:rFonts w:ascii="Arial;sans-serif" w:hAnsi="Arial;sans-serif"/>
          <w:color w:val="000000"/>
          <w:sz w:val="16"/>
          <w:szCs w:val="16"/>
        </w:rPr>
        <w:t xml:space="preserve">Za velkou opakující se odchylku od běžně dostupné rychlosti se považuje taková odchylka, při které dojde alespoň ke třem poklesům skutečně dosahované rychlosti v intervalu delším nebo rovno 3,5 minutám v časovém úseku 90 minut. Velká trvající odchylka a velká opakující se odchylka mohou mít vliv na kvalitu poskytované služby a dávat v případech, definovaných Všeobecnými obchodními podmínkami, právo na reklamaci poskytované služby. </w:t>
      </w:r>
    </w:p>
    <w:p>
      <w:pPr>
        <w:pStyle w:val="Tlotextu"/>
        <w:numPr>
          <w:ilvl w:val="0"/>
          <w:numId w:val="2"/>
        </w:numPr>
        <w:tabs>
          <w:tab w:val="clear" w:pos="708"/>
          <w:tab w:val="left" w:pos="0" w:leader="none"/>
        </w:tabs>
        <w:ind w:left="707" w:hanging="283"/>
        <w:jc w:val="both"/>
        <w:rPr>
          <w:rFonts w:ascii="Arial;sans-serif" w:hAnsi="Arial;sans-serif"/>
          <w:color w:val="000000"/>
          <w:sz w:val="16"/>
          <w:szCs w:val="16"/>
        </w:rPr>
      </w:pPr>
      <w:r>
        <w:rPr>
          <w:rFonts w:ascii="Arial;sans-serif" w:hAnsi="Arial;sans-serif"/>
          <w:color w:val="000000"/>
          <w:sz w:val="16"/>
          <w:szCs w:val="16"/>
        </w:rPr>
        <w:t>Pokles skutečně dosahované rychlosti pod úroveň minimální rychlosti je považovaný za výpadek služby a v případech, definovaných Všeobecnými obchodními podmínkami, může dávat právo na reklamaci poskytované služby.</w:t>
      </w:r>
    </w:p>
    <w:p>
      <w:pPr>
        <w:pStyle w:val="Normal"/>
        <w:rPr/>
      </w:pPr>
      <w:r>
        <w:rPr/>
      </w:r>
    </w:p>
    <w:p>
      <w:pPr>
        <w:pStyle w:val="ListParagraph"/>
        <w:rPr/>
      </w:pPr>
      <w:r>
        <w:rPr/>
        <w:t>Spolek nemá tarify a podmínky všech členů jsou rovné, dané pouze technickými a distribučními možnostmi místa, kde je člen k infrastruktuře spolku připojen.</w:t>
      </w:r>
    </w:p>
    <w:p>
      <w:pPr>
        <w:pStyle w:val="ListParagraph"/>
        <w:rPr/>
      </w:pPr>
      <w:r>
        <w:rPr/>
      </w:r>
    </w:p>
    <w:p>
      <w:pPr>
        <w:pStyle w:val="ListParagraph"/>
        <w:rPr/>
      </w:pPr>
      <w:r>
        <w:rPr/>
        <w:t>Místo odběru služby: ……………………………………………………</w:t>
      </w:r>
    </w:p>
    <w:p>
      <w:pPr>
        <w:pStyle w:val="ListParagraph"/>
        <w:rPr/>
      </w:pPr>
      <w:r>
        <w:rPr/>
      </w:r>
    </w:p>
    <w:p>
      <w:pPr>
        <w:pStyle w:val="ListParagraph"/>
        <w:rPr/>
      </w:pPr>
      <w:r>
        <w:rPr/>
      </w:r>
    </w:p>
    <w:p>
      <w:pPr>
        <w:pStyle w:val="ListParagraph"/>
        <w:numPr>
          <w:ilvl w:val="0"/>
          <w:numId w:val="1"/>
        </w:numPr>
        <w:rPr/>
      </w:pPr>
      <w:r>
        <w:rPr/>
        <w:t>Předmět smlouvy</w:t>
      </w:r>
    </w:p>
    <w:p>
      <w:pPr>
        <w:pStyle w:val="ListParagraph"/>
        <w:rPr/>
      </w:pPr>
      <w:r>
        <w:rPr/>
        <w:t>Předmětem Smlouvy je závazek Poskytovatele spočívající v umožnění realizace připojení člena k síti elektronických komunikací Poskytovatele a poté počínaje dnem nabytí účinnosti Smlouvy po celou dobu jejího trvání prostřednictvím výše uvedené veřejné komunikační sítě poskytovat členovi služby specifikované v části 2 (Parametry poskytované služby). Jako místo připojení a poskytovaní služeb je mezi smluvními stranami ujednána nemovitá věc označena v parametrech poskytované služby jako „Místo odběru služby“. V případě, že člen není vlastníkem nemovité věci, kde budou služby dle Smlouvy zřízeny a poskytovány, zavazuje se člen zajistit k tomuto účelu souhlas vlastníka dané nemovité věci.</w:t>
      </w:r>
    </w:p>
    <w:p>
      <w:pPr>
        <w:pStyle w:val="ListParagraph"/>
        <w:rPr/>
      </w:pPr>
      <w:r>
        <w:rPr/>
      </w:r>
    </w:p>
    <w:p>
      <w:pPr>
        <w:pStyle w:val="ListParagraph"/>
        <w:numPr>
          <w:ilvl w:val="0"/>
          <w:numId w:val="1"/>
        </w:numPr>
        <w:rPr/>
      </w:pPr>
      <w:r>
        <w:rPr/>
        <w:t>Servisní podpora a reklamace služby</w:t>
      </w:r>
    </w:p>
    <w:p>
      <w:pPr>
        <w:pStyle w:val="ListParagraph"/>
        <w:rPr/>
      </w:pPr>
      <w:r>
        <w:rPr/>
        <w:t>V případě poruchy služby poskytované Poskytovatelem má člen právo využít službu servisní podpory dostupné na telefonní číslo +420776214032 nebo emailem na adresu vrchonet@vrchonet.</w:t>
      </w:r>
      <w:r>
        <w:rPr>
          <w:rFonts w:eastAsia="Calibri" w:cs="" w:cstheme="minorBidi" w:eastAsiaTheme="minorHAnsi"/>
          <w:color w:val="auto"/>
          <w:kern w:val="0"/>
          <w:sz w:val="22"/>
          <w:szCs w:val="22"/>
          <w:lang w:val="cs-CZ" w:eastAsia="en-US" w:bidi="ar-SA"/>
        </w:rPr>
        <w:t>cz</w:t>
      </w:r>
      <w:r>
        <w:rPr/>
        <w:t>. Postup při reklamaci se řídí Provozním řádem.</w:t>
      </w:r>
    </w:p>
    <w:p>
      <w:pPr>
        <w:pStyle w:val="ListParagraph"/>
        <w:rPr/>
      </w:pPr>
      <w:r>
        <w:rPr/>
      </w:r>
    </w:p>
    <w:p>
      <w:pPr>
        <w:pStyle w:val="ListParagraph"/>
        <w:numPr>
          <w:ilvl w:val="0"/>
          <w:numId w:val="1"/>
        </w:numPr>
        <w:rPr/>
      </w:pPr>
      <w:r>
        <w:rPr/>
        <w:t>Cena služby</w:t>
      </w:r>
    </w:p>
    <w:p>
      <w:pPr>
        <w:pStyle w:val="ListParagraph"/>
        <w:rPr/>
      </w:pPr>
      <w:r>
        <w:rPr/>
        <w:t>Služba je poskytována členům bezúplatně. Člen se však připojuje na své náklady a svým zařízením. Taktéž náklady na údržbu a servis zařízení, kterým se k infrastruktuře spolku připojuje a veškeré další výdaje související s tímto zařízením, hradí v plné výši člen.</w:t>
      </w:r>
    </w:p>
    <w:p>
      <w:pPr>
        <w:pStyle w:val="ListParagraph"/>
        <w:rPr/>
      </w:pPr>
      <w:r>
        <w:rPr/>
      </w:r>
    </w:p>
    <w:p>
      <w:pPr>
        <w:pStyle w:val="ListParagraph"/>
        <w:numPr>
          <w:ilvl w:val="0"/>
          <w:numId w:val="1"/>
        </w:numPr>
        <w:rPr/>
      </w:pPr>
      <w:r>
        <w:rPr/>
        <w:t>Trvání smlouvy</w:t>
      </w:r>
    </w:p>
    <w:p>
      <w:pPr>
        <w:pStyle w:val="ListParagraph"/>
        <w:rPr/>
      </w:pPr>
      <w:r>
        <w:rPr/>
        <w:t>Smlouva vstupuje v platnost dnem podpisu oběm</w:t>
      </w:r>
      <w:r>
        <w:rPr>
          <w:rFonts w:eastAsia="Calibri" w:cs="" w:cstheme="minorBidi" w:eastAsiaTheme="minorHAnsi"/>
          <w:color w:val="auto"/>
          <w:kern w:val="0"/>
          <w:sz w:val="22"/>
          <w:szCs w:val="22"/>
          <w:lang w:val="cs-CZ" w:eastAsia="en-US" w:bidi="ar-SA"/>
        </w:rPr>
        <w:t>a</w:t>
      </w:r>
      <w:r>
        <w:rPr/>
        <w:t xml:space="preserve"> stranami. Každá ze stran je oprávněna smlouvu kdykoli vypovědět, bez udání důvodu, v souladu se Stanovami a Provozním řádem. Platnost smlouvy je vázána na členství ve spolku a smlouva nemůže platit před vznikem členství a zaniká okamžikem zániku členství ve spolku.</w:t>
      </w:r>
    </w:p>
    <w:p>
      <w:pPr>
        <w:pStyle w:val="ListParagraph"/>
        <w:rPr/>
      </w:pPr>
      <w:r>
        <w:rPr/>
      </w:r>
    </w:p>
    <w:p>
      <w:pPr>
        <w:pStyle w:val="ListParagraph"/>
        <w:numPr>
          <w:ilvl w:val="0"/>
          <w:numId w:val="1"/>
        </w:numPr>
        <w:rPr/>
      </w:pPr>
      <w:r>
        <w:rPr/>
        <w:t>Ostatní a závěrečná ustanovení</w:t>
      </w:r>
    </w:p>
    <w:p>
      <w:pPr>
        <w:pStyle w:val="ListParagraph"/>
        <w:rPr/>
      </w:pPr>
      <w:r>
        <w:rPr/>
        <w:t>Člen bez zbytečného odkladu oznámí Poskytovateli každou změnu údajů tykajících se osoby člena. Za oznámení výše uvedené změny údajů nese plnou odpovědnost člen, jakož i za důsledky z případného neoznámení změny údajů vyplývajících.</w:t>
      </w:r>
    </w:p>
    <w:p>
      <w:pPr>
        <w:pStyle w:val="Normal"/>
        <w:rPr/>
      </w:pPr>
      <w:r>
        <w:rPr/>
        <w:t>Vztahy mezi smluvními stranami Smlouvou neupravené se řídí ustanoveními právního řadu České republiky, zejména občanským zákoníkem a zákonem o elektronických komunikacích. Smlouva je vyhotovena ve dvou stejnopisech, z nichž každá strana obdrží po jednom. Smlouvu lze měnit či doplňovat pouze písemnými dodatky uzavřenými za souhlasu obou stran. Smluvní strany dále prohlašují, že při uzavírání Smlouvy nedošlo ke zneužití tísně, nezkušenosti, rozumové slabosti, rozrušení nebo lehkomyslnosti druhé strany a že nebylo mezi stranami ujednáno plnění, jehož majetková hodnota je k vzájemnému plnění v hrubém nepoměru.</w:t>
      </w:r>
    </w:p>
    <w:p>
      <w:pPr>
        <w:pStyle w:val="Normal"/>
        <w:rPr/>
      </w:pPr>
      <w:r>
        <w:rPr/>
      </w:r>
    </w:p>
    <w:p>
      <w:pPr>
        <w:pStyle w:val="Normal"/>
        <w:rPr/>
      </w:pPr>
      <w:r>
        <w:rPr/>
        <w:t>Ve Vrchoslavicích dne . . . . . . . . . . . . . . . . . . . . . . . . . . .</w:t>
      </w:r>
    </w:p>
    <w:p>
      <w:pPr>
        <w:pStyle w:val="Normal"/>
        <w:rPr/>
      </w:pPr>
      <w:r>
        <w:rPr/>
        <w:t xml:space="preserve">Informační povinnost správce osobních údajů </w:t>
      </w:r>
    </w:p>
    <w:p>
      <w:pPr>
        <w:pStyle w:val="Normal"/>
        <w:rPr/>
      </w:pPr>
      <w:r>
        <w:rPr/>
        <w:t xml:space="preserve">Správce osobních údajů tímto, v souladu s nařízením Evropského parlamentu a Rady (EU) č. 2016/679, obecné nařízení o ochraně osobních údajů, informuje Vás, jako subjekt údajů, o níže uvedených skutečnostech. Správcem osobních údajů je Vrchonet, z.s., IČ: 226 89 231, se sídlem Vrchoslavice 169, 798 27 Vrchoslavice, vedený u rejstříkového soudu v Brně, spisová značka L 12899, e-mail admin@vrchonet.cz tel. 739409005 (dále jen „Správce“). Správce zpracovává osobní údaje o Vaší osobě, a to Vaše jméno, příjmení, e-mailovou adresu a telefonní číslo. Tyto osobní údaje jsou zpracovávány na právním základě uzavření a plnění smlouvy, a to za účelem řádného plnění předmětu smlouvy, ke komunikaci a dalším souvisejícím skutečnostem. Správce zpracovává poskytnuté osobní údaje v elektronické podobě automatizovaným způsobem a ve fyzické podobě manuálním způsobem. Správce je oprávněn zpřístupnit poskytnuté osobní údaje třetí osobě, včetně předání osobních údajů do třetích zemí, a to kategorii příjemců, jež Správce využívá k naplnění účelů vymezeným výše. Poskytnuté osobní údaje bude Správce zpracovávat po dobu neurčitou, a to až do pominutí účelů, pro které jsou osobní údaje zpracovávány. </w:t>
      </w:r>
    </w:p>
    <w:p>
      <w:pPr>
        <w:pStyle w:val="Normal"/>
        <w:rPr/>
      </w:pPr>
      <w:r>
        <w:rPr/>
        <w:t xml:space="preserve">Správce Vás tímto informuje, že na základě zpracování osobních údajů máte následující práva: </w:t>
      </w:r>
    </w:p>
    <w:p>
      <w:pPr>
        <w:pStyle w:val="Normal"/>
        <w:rPr/>
      </w:pPr>
      <w:r>
        <w:rPr/>
        <w:t xml:space="preserve">- právo na přístup k osobním údajům, které o Vás Správce zpracovává, </w:t>
      </w:r>
    </w:p>
    <w:p>
      <w:pPr>
        <w:pStyle w:val="Normal"/>
        <w:rPr/>
      </w:pPr>
      <w:r>
        <w:rPr/>
        <w:t xml:space="preserve">- právo na opravu osobních údajů, </w:t>
      </w:r>
    </w:p>
    <w:p>
      <w:pPr>
        <w:pStyle w:val="Normal"/>
        <w:rPr/>
      </w:pPr>
      <w:r>
        <w:rPr/>
        <w:t xml:space="preserve">- právo na výmaz osobních údajů, </w:t>
      </w:r>
    </w:p>
    <w:p>
      <w:pPr>
        <w:pStyle w:val="Normal"/>
        <w:rPr/>
      </w:pPr>
      <w:r>
        <w:rPr/>
        <w:t xml:space="preserve">- právo na omezení zpracování osobních údajů, </w:t>
      </w:r>
    </w:p>
    <w:p>
      <w:pPr>
        <w:pStyle w:val="Normal"/>
        <w:rPr/>
      </w:pPr>
      <w:r>
        <w:rPr/>
        <w:t xml:space="preserve">- právo vznést námitku proti zpracování osobních údajů, </w:t>
      </w:r>
    </w:p>
    <w:p>
      <w:pPr>
        <w:pStyle w:val="Normal"/>
        <w:rPr/>
      </w:pPr>
      <w:r>
        <w:rPr/>
        <w:t xml:space="preserve">- právo na přenositelnost osobních údajů. </w:t>
      </w:r>
    </w:p>
    <w:p>
      <w:pPr>
        <w:pStyle w:val="Normal"/>
        <w:widowControl/>
        <w:bidi w:val="0"/>
        <w:spacing w:lineRule="auto" w:line="259" w:before="0" w:after="160"/>
        <w:jc w:val="left"/>
        <w:rPr/>
      </w:pPr>
      <w:r>
        <w:rPr/>
        <w:t>Rovněž máte právo podat stížnost na zpracování osobních údajů u příslušného dozorového úřadu, tedy Úřadu pro ochranu osobních údajů.</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Roboto">
    <w:charset w:val="01"/>
    <w:family w:val="roman"/>
    <w:pitch w:val="variable"/>
  </w:font>
  <w:font w:name="Arial">
    <w:charset w:val="01"/>
    <w:family w:val="roman"/>
    <w:pitch w:val="variable"/>
  </w:font>
  <w:font w:name="Arial">
    <w:altName w:val="sans-serif"/>
    <w:charset w:val="01"/>
    <w:family w:val="roman"/>
    <w:pitch w:val="variable"/>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9e5f6e"/>
    <w:pPr>
      <w:spacing w:before="0" w:after="160"/>
      <w:ind w:left="720" w:hanging="0"/>
      <w:contextualSpacing/>
    </w:pPr>
    <w:rPr/>
  </w:style>
  <w:style w:type="paragraph" w:styleId="Wmdefault" w:customStyle="1">
    <w:name w:val="-wm-default"/>
    <w:basedOn w:val="Normal"/>
    <w:qFormat/>
    <w:rsid w:val="009e5f6e"/>
    <w:pPr>
      <w:spacing w:lineRule="auto" w:line="240" w:beforeAutospacing="1" w:afterAutospacing="1"/>
    </w:pPr>
    <w:rPr>
      <w:rFonts w:ascii="Times New Roman" w:hAnsi="Times New Roman" w:eastAsia="Times New Roman" w:cs="Times New Roman"/>
      <w:sz w:val="24"/>
      <w:szCs w:val="24"/>
      <w:lang w:eastAsia="cs-CZ"/>
    </w:rPr>
  </w:style>
  <w:style w:type="paragraph" w:styleId="Wmmsonormal" w:customStyle="1">
    <w:name w:val="-wm-msonormal"/>
    <w:basedOn w:val="Normal"/>
    <w:qFormat/>
    <w:rsid w:val="009e5f6e"/>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LibreOffice/6.4.7.2$Linux_X86_64 LibreOffice_project/40$Build-2</Application>
  <Pages>3</Pages>
  <Words>1135</Words>
  <Characters>6795</Characters>
  <CharactersWithSpaces>7873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2021-05-05T06:07:00Z</dcterms:created>
  <dc:creator>Jan Zimen</dc:creator>
  <dc:description/>
  <dc:language>cs-CZ</dc:language>
  <cp:lastModifiedBy/>
  <dcterms:modified xsi:type="dcterms:W3CDTF">2021-05-06T21:01:47Z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